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EC5" w:rsidRDefault="00000000" w14:paraId="1F07F87A" w14:textId="77777777">
      <w:r>
        <w:rPr>
          <w:b/>
        </w:rPr>
        <w:t>Purpose</w:t>
      </w:r>
      <w:r>
        <w:rPr>
          <w:b/>
        </w:rPr>
        <w:br/>
      </w:r>
      <w:r>
        <w:t>This memo clarifies what transaction documents must be retained, for how long, and what qualifies as a required record under Florida law. These requirements apply to all Easy Realty licensees involved in Florida real estate transactions.</w:t>
      </w:r>
    </w:p>
    <w:p w:rsidR="00612EC5" w:rsidRDefault="00000000" w14:paraId="0FD42B1A" w14:textId="77777777">
      <w:r>
        <w:rPr>
          <w:b/>
        </w:rPr>
        <w:t>Governing Law</w:t>
      </w:r>
      <w:r>
        <w:rPr>
          <w:b/>
        </w:rPr>
        <w:br/>
      </w:r>
      <w:r>
        <w:t>Florida Statute § 475.5015 – Brokerage Business Records governs record retention requirements for Florida real estate brokers and sales associates.</w:t>
      </w:r>
    </w:p>
    <w:p w:rsidR="00612EC5" w:rsidRDefault="00000000" w14:paraId="5986428F" w14:textId="77777777">
      <w:r>
        <w:rPr>
          <w:b/>
        </w:rPr>
        <w:t>Retention Period</w:t>
      </w:r>
      <w:r>
        <w:rPr>
          <w:b/>
        </w:rPr>
        <w:br/>
      </w:r>
      <w:r>
        <w:t>Easy Realty must retain at least one legible copy of all brokerage business records for a minimum of five (5) years from the date funds were entrusted to the broker or, if no funds were entrusted, from the date of execution of any agreement engaging the broker’s services. Records involved in litigation must be retained for at least two (2) years after final conclusion of the matter, but not less than five (5) years total.</w:t>
      </w:r>
    </w:p>
    <w:p w:rsidR="00612EC5" w:rsidRDefault="00000000" w14:paraId="0EB4580C" w14:textId="77777777">
      <w:r>
        <w:rPr>
          <w:b/>
        </w:rPr>
        <w:t>Required Records</w:t>
      </w:r>
      <w:r>
        <w:rPr>
          <w:b/>
        </w:rPr>
        <w:br/>
      </w:r>
    </w:p>
    <w:p w:rsidR="00612EC5" w:rsidRDefault="00000000" w14:paraId="37A26DA5" w14:textId="77777777">
      <w:pPr>
        <w:pStyle w:val="ListBullet"/>
      </w:pPr>
      <w:r>
        <w:t>Agency &amp; Representation Documents</w:t>
      </w:r>
    </w:p>
    <w:p w:rsidR="00612EC5" w:rsidRDefault="00000000" w14:paraId="6D553000" w14:textId="77777777">
      <w:r>
        <w:t>• Listing agreements</w:t>
      </w:r>
    </w:p>
    <w:p w:rsidR="00612EC5" w:rsidRDefault="00000000" w14:paraId="781F60C4" w14:textId="77777777">
      <w:r>
        <w:t>• Buyer or tenant representation agreements</w:t>
      </w:r>
    </w:p>
    <w:p w:rsidR="00612EC5" w:rsidRDefault="00000000" w14:paraId="66D02747" w14:textId="77777777">
      <w:r>
        <w:t>• Transaction broker disclosures</w:t>
      </w:r>
    </w:p>
    <w:p w:rsidR="00612EC5" w:rsidRDefault="00000000" w14:paraId="5A7FB42B" w14:textId="77777777">
      <w:r>
        <w:t>• Amendments, extensions, or cancellations</w:t>
      </w:r>
    </w:p>
    <w:p w:rsidR="00612EC5" w:rsidRDefault="00000000" w14:paraId="702FCC9B" w14:textId="77777777">
      <w:pPr>
        <w:pStyle w:val="ListBullet"/>
      </w:pPr>
      <w:r>
        <w:t>Contracts &amp; Transaction Documents</w:t>
      </w:r>
    </w:p>
    <w:p w:rsidR="00612EC5" w:rsidRDefault="00000000" w14:paraId="74C9413A" w14:textId="77777777">
      <w:r>
        <w:t>• Purchase and sale contracts</w:t>
      </w:r>
    </w:p>
    <w:p w:rsidR="00612EC5" w:rsidRDefault="00000000" w14:paraId="67D85610" w14:textId="77777777">
      <w:r>
        <w:t>• Addenda and counteroffers</w:t>
      </w:r>
    </w:p>
    <w:p w:rsidR="00612EC5" w:rsidRDefault="00000000" w14:paraId="716A97B9" w14:textId="77777777">
      <w:r>
        <w:t>• Repair agreements and amendments</w:t>
      </w:r>
    </w:p>
    <w:p w:rsidR="00612EC5" w:rsidRDefault="00000000" w14:paraId="214B9456" w14:textId="77777777">
      <w:pPr>
        <w:pStyle w:val="ListBullet"/>
      </w:pPr>
      <w:r>
        <w:t>Disclosure Documents (Mandatory)</w:t>
      </w:r>
    </w:p>
    <w:p w:rsidR="00612EC5" w:rsidRDefault="00000000" w14:paraId="6B867218" w14:textId="77777777">
      <w:r>
        <w:t>• Agency disclosure forms</w:t>
      </w:r>
    </w:p>
    <w:p w:rsidR="00612EC5" w:rsidRDefault="00000000" w14:paraId="1FD3EE2B" w14:textId="77777777">
      <w:r>
        <w:t>• Lead-based paint disclosures (when applicable)</w:t>
      </w:r>
    </w:p>
    <w:p w:rsidR="00612EC5" w:rsidRDefault="00000000" w14:paraId="2064AD62" w14:textId="77777777">
      <w:r>
        <w:t>• Seller property disclosure forms</w:t>
      </w:r>
    </w:p>
    <w:p w:rsidR="00612EC5" w:rsidRDefault="00000000" w14:paraId="515C4033" w14:textId="77777777">
      <w:r>
        <w:t>• Any other disclosures required by Florida or federal law</w:t>
      </w:r>
    </w:p>
    <w:p w:rsidR="00612EC5" w:rsidRDefault="00000000" w14:paraId="5B17B5D3" w14:textId="77777777">
      <w:pPr>
        <w:pStyle w:val="ListBullet"/>
      </w:pPr>
      <w:r>
        <w:t>Offers &amp; Negotiations</w:t>
      </w:r>
    </w:p>
    <w:p w:rsidR="00612EC5" w:rsidRDefault="00000000" w14:paraId="37A73C90" w14:textId="77777777">
      <w:r>
        <w:lastRenderedPageBreak/>
        <w:t>• Offers submitted or received</w:t>
      </w:r>
    </w:p>
    <w:p w:rsidR="00612EC5" w:rsidRDefault="00000000" w14:paraId="25CB4325" w14:textId="77777777">
      <w:r>
        <w:t>• Rejected, withdrawn, or expired offers</w:t>
      </w:r>
    </w:p>
    <w:p w:rsidR="00612EC5" w:rsidRDefault="00000000" w14:paraId="01DBAC53" w14:textId="77777777">
      <w:r>
        <w:t>• Documentation of presentation when applicable</w:t>
      </w:r>
    </w:p>
    <w:p w:rsidR="00612EC5" w:rsidRDefault="00000000" w14:paraId="636EA35F" w14:textId="77777777">
      <w:pPr>
        <w:pStyle w:val="ListBullet"/>
      </w:pPr>
      <w:r>
        <w:t>Financial &amp; Closing Records</w:t>
      </w:r>
    </w:p>
    <w:p w:rsidR="00612EC5" w:rsidRDefault="00000000" w14:paraId="267E6EB3" w14:textId="77777777">
      <w:r>
        <w:t>• Earnest money receipts</w:t>
      </w:r>
    </w:p>
    <w:p w:rsidR="00612EC5" w:rsidRDefault="00000000" w14:paraId="5B6984D2" w14:textId="77777777">
      <w:r>
        <w:t>• Trust account records (if applicable)</w:t>
      </w:r>
    </w:p>
    <w:p w:rsidR="00612EC5" w:rsidRDefault="00000000" w14:paraId="7A19442D" w14:textId="77777777">
      <w:r>
        <w:t>• Commission agreements and disbursement authorizations</w:t>
      </w:r>
    </w:p>
    <w:p w:rsidR="00612EC5" w:rsidRDefault="00000000" w14:paraId="36597506" w14:textId="77777777">
      <w:r>
        <w:t>• Copy of the settlement statement (CD, HUD-1, or ALTA)</w:t>
      </w:r>
    </w:p>
    <w:p w:rsidR="00612EC5" w:rsidRDefault="00000000" w14:paraId="20EB38A1" w14:textId="77777777">
      <w:pPr>
        <w:pStyle w:val="ListBullet"/>
      </w:pPr>
      <w:r>
        <w:t>Transaction Correspondence</w:t>
      </w:r>
    </w:p>
    <w:p w:rsidR="00612EC5" w:rsidRDefault="00000000" w14:paraId="7AE83CF8" w14:textId="77777777">
      <w:r>
        <w:t>• Emails or written communications negotiating material terms</w:t>
      </w:r>
    </w:p>
    <w:p w:rsidR="00612EC5" w:rsidRDefault="00000000" w14:paraId="3A77F70C" w14:textId="77777777">
      <w:r>
        <w:t>• Written client instructions or notices of cancellation</w:t>
      </w:r>
    </w:p>
    <w:p w:rsidR="00612EC5" w:rsidRDefault="00000000" w14:paraId="274D5211" w14:textId="77777777">
      <w:r>
        <w:t>• Other substantive communications affecting the transaction</w:t>
      </w:r>
    </w:p>
    <w:p w:rsidR="00612EC5" w:rsidRDefault="00000000" w14:paraId="5C520D52" w14:textId="77777777">
      <w:r>
        <w:rPr>
          <w:b/>
        </w:rPr>
        <w:t>Format of Records</w:t>
      </w:r>
      <w:r>
        <w:rPr>
          <w:b/>
        </w:rPr>
        <w:br/>
      </w:r>
      <w:r>
        <w:t>Records may be retained electronically or in paper format, provided they are legible and can be produced promptly upon request by DBPR or FREC.</w:t>
      </w:r>
    </w:p>
    <w:p w:rsidR="00612EC5" w:rsidRDefault="00000000" w14:paraId="52D5F701" w14:textId="77777777">
      <w:r>
        <w:rPr>
          <w:b/>
        </w:rPr>
        <w:t>Easy Realty Compliance Standard</w:t>
      </w:r>
      <w:r>
        <w:rPr>
          <w:b/>
        </w:rPr>
        <w:br/>
      </w:r>
      <w:r>
        <w:t>Easy Realty requires agents to maintain a complete transaction file for every transaction and to submit all required documents to the brokerage’s designated record system in accordance with company policy.</w:t>
      </w:r>
    </w:p>
    <w:p w:rsidR="00612EC5" w:rsidRDefault="00000000" w14:paraId="7571B0A2" w14:textId="77777777">
      <w:r>
        <w:rPr>
          <w:b/>
        </w:rPr>
        <w:t>Key Reminder</w:t>
      </w:r>
      <w:r>
        <w:rPr>
          <w:b/>
        </w:rPr>
        <w:br/>
      </w:r>
      <w:bookmarkStart w:name="OLE_LINK1" w:id="0"/>
      <w:r>
        <w:t xml:space="preserve">If a document explains, proves, modifies, or evidences a transaction, it must be retained. </w:t>
      </w:r>
      <w:bookmarkEnd w:id="0"/>
      <w:r>
        <w:t>The requirement is not limited to signed documents or closing statements.</w:t>
      </w:r>
    </w:p>
    <w:sectPr w:rsidR="00612EC5" w:rsidSect="00034616">
      <w:pgSz w:w="12240" w:h="15840" w:orient="portrait"/>
      <w:pgMar w:top="1440" w:right="1800" w:bottom="1440" w:left="1800" w:header="720" w:footer="720" w:gutter="0"/>
      <w:cols w:space="720"/>
      <w:docGrid w:linePitch="360"/>
      <w:headerReference w:type="default" r:id="Ra5962d4f1c2c4a04"/>
      <w:footerReference w:type="default" r:id="R978b6c6ac48847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4DE146D1" w:rsidTr="4DE146D1" w14:paraId="71D5CF3D">
      <w:trPr>
        <w:trHeight w:val="300"/>
      </w:trPr>
      <w:tc>
        <w:tcPr>
          <w:tcW w:w="2880" w:type="dxa"/>
          <w:tcMar/>
        </w:tcPr>
        <w:p w:rsidR="4DE146D1" w:rsidP="4DE146D1" w:rsidRDefault="4DE146D1" w14:paraId="1851A97D" w14:textId="3041170E">
          <w:pPr>
            <w:pStyle w:val="Header"/>
            <w:bidi w:val="0"/>
            <w:ind w:left="-115"/>
            <w:jc w:val="left"/>
          </w:pPr>
        </w:p>
      </w:tc>
      <w:tc>
        <w:tcPr>
          <w:tcW w:w="2880" w:type="dxa"/>
          <w:tcMar/>
        </w:tcPr>
        <w:p w:rsidR="4DE146D1" w:rsidP="4DE146D1" w:rsidRDefault="4DE146D1" w14:paraId="7EA139A4" w14:textId="018368F8">
          <w:pPr>
            <w:pStyle w:val="Header"/>
            <w:bidi w:val="0"/>
            <w:jc w:val="center"/>
          </w:pPr>
        </w:p>
      </w:tc>
      <w:tc>
        <w:tcPr>
          <w:tcW w:w="2880" w:type="dxa"/>
          <w:tcMar/>
        </w:tcPr>
        <w:p w:rsidR="4DE146D1" w:rsidP="4DE146D1" w:rsidRDefault="4DE146D1" w14:paraId="6C26653A" w14:textId="72803610">
          <w:pPr>
            <w:pStyle w:val="Header"/>
            <w:bidi w:val="0"/>
            <w:ind w:right="-115"/>
            <w:jc w:val="right"/>
          </w:pPr>
        </w:p>
      </w:tc>
    </w:tr>
  </w:tbl>
  <w:p w:rsidR="4DE146D1" w:rsidP="4DE146D1" w:rsidRDefault="4DE146D1" w14:paraId="209F9274" w14:textId="7B8C859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4DE146D1" w:rsidTr="4DE146D1" w14:paraId="59285839">
      <w:trPr>
        <w:trHeight w:val="300"/>
      </w:trPr>
      <w:tc>
        <w:tcPr>
          <w:tcW w:w="2880" w:type="dxa"/>
          <w:tcMar/>
        </w:tcPr>
        <w:p w:rsidR="4DE146D1" w:rsidP="4DE146D1" w:rsidRDefault="4DE146D1" w14:paraId="5DF91809" w14:textId="73998C2A">
          <w:pPr>
            <w:pStyle w:val="Header"/>
            <w:bidi w:val="0"/>
            <w:ind w:left="-115"/>
            <w:jc w:val="left"/>
          </w:pPr>
        </w:p>
      </w:tc>
      <w:tc>
        <w:tcPr>
          <w:tcW w:w="2880" w:type="dxa"/>
          <w:tcMar/>
        </w:tcPr>
        <w:p w:rsidR="4DE146D1" w:rsidP="4DE146D1" w:rsidRDefault="4DE146D1" w14:paraId="60540872" w14:textId="6100EE25">
          <w:pPr>
            <w:pStyle w:val="Header"/>
            <w:bidi w:val="0"/>
            <w:jc w:val="center"/>
          </w:pPr>
        </w:p>
      </w:tc>
      <w:tc>
        <w:tcPr>
          <w:tcW w:w="2880" w:type="dxa"/>
          <w:tcMar/>
        </w:tcPr>
        <w:p w:rsidR="4DE146D1" w:rsidP="4DE146D1" w:rsidRDefault="4DE146D1" w14:paraId="672613D4" w14:textId="74DD4778">
          <w:pPr>
            <w:pStyle w:val="Header"/>
            <w:bidi w:val="0"/>
            <w:ind w:right="-115"/>
            <w:jc w:val="right"/>
          </w:pPr>
        </w:p>
      </w:tc>
    </w:tr>
  </w:tbl>
  <w:p w:rsidR="4DE146D1" w:rsidP="4DE146D1" w:rsidRDefault="4DE146D1" w14:paraId="6F9CC616" w14:textId="47B330B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FAA1C8E"/>
    <w:lvl w:ilvl="0">
      <w:start w:val="1"/>
      <w:numFmt w:val="bullet"/>
      <w:pStyle w:val="ListBullet"/>
      <w:lvlText w:val=""/>
      <w:lvlJc w:val="left"/>
      <w:pPr>
        <w:tabs>
          <w:tab w:val="num" w:pos="360"/>
        </w:tabs>
        <w:ind w:left="360" w:hanging="360"/>
      </w:pPr>
      <w:rPr>
        <w:rFonts w:hint="default" w:ascii="Symbol" w:hAnsi="Symbol"/>
      </w:rPr>
    </w:lvl>
  </w:abstractNum>
  <w:num w:numId="1" w16cid:durableId="1136022637">
    <w:abstractNumId w:val="8"/>
  </w:num>
  <w:num w:numId="2" w16cid:durableId="1841847867">
    <w:abstractNumId w:val="6"/>
  </w:num>
  <w:num w:numId="3" w16cid:durableId="526792749">
    <w:abstractNumId w:val="5"/>
  </w:num>
  <w:num w:numId="4" w16cid:durableId="748968584">
    <w:abstractNumId w:val="4"/>
  </w:num>
  <w:num w:numId="5" w16cid:durableId="1703550691">
    <w:abstractNumId w:val="7"/>
  </w:num>
  <w:num w:numId="6" w16cid:durableId="984243356">
    <w:abstractNumId w:val="3"/>
  </w:num>
  <w:num w:numId="7" w16cid:durableId="1473133162">
    <w:abstractNumId w:val="2"/>
  </w:num>
  <w:num w:numId="8" w16cid:durableId="1480339337">
    <w:abstractNumId w:val="1"/>
  </w:num>
  <w:num w:numId="9" w16cid:durableId="29317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000"/>
    <w:rsid w:val="00034616"/>
    <w:rsid w:val="0006063C"/>
    <w:rsid w:val="0015074B"/>
    <w:rsid w:val="0029639D"/>
    <w:rsid w:val="00326F90"/>
    <w:rsid w:val="003B6239"/>
    <w:rsid w:val="00612EC5"/>
    <w:rsid w:val="00917658"/>
    <w:rsid w:val="00AA1D8D"/>
    <w:rsid w:val="00B47730"/>
    <w:rsid w:val="00CB0664"/>
    <w:rsid w:val="00FC693F"/>
    <w:rsid w:val="00FD2602"/>
    <w:rsid w:val="4DE14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8F0E7F9-642D-45A4-85BA-ACE0A15F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eader" Target="header.xml" Id="Ra5962d4f1c2c4a04" /><Relationship Type="http://schemas.openxmlformats.org/officeDocument/2006/relationships/footer" Target="footer.xml" Id="R978b6c6ac48847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J. Stuart Hill</lastModifiedBy>
  <revision>4</revision>
  <dcterms:created xsi:type="dcterms:W3CDTF">2013-12-23T23:15:00.0000000Z</dcterms:created>
  <dcterms:modified xsi:type="dcterms:W3CDTF">2026-04-17T12:56:53.3050558Z</dcterms:modified>
  <category/>
</coreProperties>
</file>